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6A46B9" w14:textId="52CE6288" w:rsidR="00000000" w:rsidRDefault="00A30DC3">
      <w:pPr>
        <w:jc w:val="center"/>
      </w:pPr>
      <w:r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DC145C" wp14:editId="7B1E41C7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298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5827EEB0" w14:textId="4CE81F09" w:rsidR="00000000" w:rsidRDefault="00A30DC3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5EAA3" wp14:editId="2446D863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E40F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EFCBAB8" w14:textId="115DFD2D" w:rsidR="00000000" w:rsidRDefault="00A30DC3">
      <w:pPr>
        <w:jc w:val="center"/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5. søndag i påsketiden, år A </w:t>
      </w:r>
      <w:r>
        <w:rPr>
          <w:rFonts w:cs="Times New Roman"/>
          <w:sz w:val="30"/>
          <w:szCs w:val="30"/>
          <w:lang w:val="pl-PL"/>
        </w:rPr>
        <w:br/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V NIEDZIELA WIELKANOCNA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hyperlink r:id="rId7" w:history="1">
        <w:r>
          <w:rPr>
            <w:rStyle w:val="Sterk"/>
            <w:color w:val="000000"/>
            <w:sz w:val="30"/>
            <w:szCs w:val="30"/>
            <w:lang w:val="pl-PL"/>
          </w:rPr>
          <w:t xml:space="preserve"> - ROK A</w:t>
        </w:r>
      </w:hyperlink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7072132" wp14:editId="2466A894">
                <wp:extent cx="6777990" cy="19050"/>
                <wp:effectExtent l="635" t="1270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5656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093E416" w14:textId="77777777" w:rsidR="00000000" w:rsidRDefault="00A30DC3">
      <w:pPr>
        <w:jc w:val="center"/>
      </w:pPr>
    </w:p>
    <w:p w14:paraId="14A1DF29" w14:textId="77777777" w:rsidR="00000000" w:rsidRDefault="00A30DC3">
      <w:pPr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Dz 6,1-7</w:t>
      </w:r>
    </w:p>
    <w:p w14:paraId="20FAE018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Czytanie z Dziejów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Apostolskich</w:t>
      </w:r>
    </w:p>
    <w:p w14:paraId="5373B509" w14:textId="77777777" w:rsidR="00000000" w:rsidRDefault="00A30DC3">
      <w:r>
        <w:rPr>
          <w:rStyle w:val="Hyperkobling"/>
          <w:rFonts w:cs="Times New Roman"/>
          <w:color w:val="000000"/>
          <w:sz w:val="28"/>
          <w:szCs w:val="28"/>
          <w:u w:val="none"/>
        </w:rPr>
        <w:t>Gdy liczba uczniów wzrastała, zaczęli helleniści szemrać przeciwko Hebrajczykom, że przy codziennym rozdawaniu jałmużny zaniedbywano ich wdowy.  Dwunastu, zwoławszy wszystkich uczniów, powiedziało: „Nie jest rzeczą słuszną, abyśmy zaniedbali s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>łowo Boże, a obsługiwali stoły. Upatrzcież zatem, bracia, siedmiu mężów spośród siebie, cieszących się dobrą sławą, pełnych Ducha i mądrości. Im zlecimy to zadanie. My zaś oddamy się wyłącznie modlitwie i po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softHyphen/>
        <w:t>słudze słowa”.  Spodobały się te słowa wszystkim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zebranym i wybrali Szcze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softHyphen/>
        <w:t>pana, męża pełnego wiary i Ducha Świętego, Filipa, Prochora, Nikanora, Tymona, Parmenasa i Mikołaja, prozelitę z Antiochii. Przedstawili ich Apostołom, którzy modląc się włożyli na nich ręce.  A słowo Boże rozszerzało się, wzrasta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ła też bardzo liczba uczniów w Jerozolimie, a nawet bardzo wielu kapłanów przyjmowało wiarę.  </w:t>
      </w:r>
      <w:r>
        <w:rPr>
          <w:rFonts w:cs="Times New Roman"/>
          <w:b/>
          <w:bCs/>
          <w:color w:val="000000"/>
          <w:sz w:val="28"/>
          <w:szCs w:val="28"/>
        </w:rPr>
        <w:t>Oto słowo Boże.</w:t>
      </w:r>
    </w:p>
    <w:p w14:paraId="18F4FC94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098A793C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PSALM RESPONSORYJNY</w:t>
      </w:r>
      <w:r>
        <w:rPr>
          <w:rFonts w:cs="Times New Roman"/>
          <w:color w:val="000000"/>
          <w:sz w:val="28"/>
          <w:szCs w:val="28"/>
        </w:rPr>
        <w:tab/>
        <w:t xml:space="preserve">        </w:t>
      </w:r>
      <w:r>
        <w:rPr>
          <w:rFonts w:cs="Times New Roman"/>
          <w:b/>
          <w:bCs/>
          <w:color w:val="000000"/>
          <w:sz w:val="28"/>
          <w:szCs w:val="28"/>
        </w:rPr>
        <w:t>Ps 33,1-2.4-5.18-19</w:t>
      </w:r>
    </w:p>
    <w:p w14:paraId="2059A081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color w:val="000000"/>
          <w:sz w:val="28"/>
          <w:szCs w:val="28"/>
        </w:rPr>
        <w:t>Refren: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Mamy nadzieję w miłosierdziu Pana. </w:t>
      </w:r>
    </w:p>
    <w:p w14:paraId="296F4710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color w:val="000000"/>
          <w:sz w:val="28"/>
          <w:szCs w:val="28"/>
          <w:u w:val="none"/>
        </w:rPr>
        <w:t>Sprawiedliwi, radośnie wołajcie na cześć Pana, praw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>ym przystoi pieśń chwały.                                                          Sławcie Pana na cytrze, grajcie Mu na harfie o dziesięciu strunach.</w:t>
      </w:r>
    </w:p>
    <w:p w14:paraId="2D05EE41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Bo słowo Pana jest prawe, a każde Jego dzieło godne zaufania.                                           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On miłuje prawo i sprawiedliwość, ziemia jest pełna Jego łaski.</w:t>
      </w:r>
    </w:p>
    <w:p w14:paraId="57920B5A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color w:val="000000"/>
          <w:sz w:val="28"/>
          <w:szCs w:val="28"/>
          <w:u w:val="none"/>
        </w:rPr>
        <w:t>Oczy Pana zwrócone na bogobojnych, na tych, którzy czekają na Jego łaskę,                       aby ocalił ich życie od śmierci i żywił ich w czasie głodu.</w:t>
      </w:r>
    </w:p>
    <w:p w14:paraId="18CA7070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29482C04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DRUGIE CZYTANIE</w:t>
      </w:r>
      <w:r>
        <w:rPr>
          <w:rFonts w:cs="Times New Roman"/>
          <w:b/>
          <w:bCs/>
          <w:color w:val="000000"/>
          <w:sz w:val="28"/>
          <w:szCs w:val="28"/>
        </w:rPr>
        <w:tab/>
        <w:t xml:space="preserve">  1 P 2,4-9</w:t>
      </w:r>
    </w:p>
    <w:p w14:paraId="50CD5930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Czytan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ie z Pierwszego Listu świętego Piotra Apostoła  </w:t>
      </w:r>
    </w:p>
    <w:p w14:paraId="70E36811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color w:val="000000"/>
          <w:sz w:val="28"/>
          <w:szCs w:val="28"/>
        </w:rPr>
        <w:t xml:space="preserve">Najmilsi!  Zbliżając się do Pana, który jest żywym kamieniem, odrzuconym wprawdzie przez </w:t>
      </w:r>
      <w:r>
        <w:rPr>
          <w:rFonts w:cs="Times New Roman"/>
          <w:color w:val="000000"/>
          <w:sz w:val="28"/>
          <w:szCs w:val="28"/>
        </w:rPr>
        <w:lastRenderedPageBreak/>
        <w:t>ludzi, ale u Boga wybranym i drogocennym, wy również, niby żywe kamienie, jesteście budowani jako duchowa świątynia, b</w:t>
      </w:r>
      <w:r>
        <w:rPr>
          <w:rFonts w:cs="Times New Roman"/>
          <w:color w:val="000000"/>
          <w:sz w:val="28"/>
          <w:szCs w:val="28"/>
        </w:rPr>
        <w:t xml:space="preserve">y stanowić święte kapłaństwo, dla składania duchowych ofiar, przyjemnych Bogu przez Jezusa Chrystusa. To bowiem zawiera się w Piśmie: „Oto kładę na Syjonie kamień węgielny, wybrany, drogocenny, a kto wierzy w niego, na pewno nie zostanie zawiedziony”. Wam </w:t>
      </w:r>
      <w:r>
        <w:rPr>
          <w:rFonts w:cs="Times New Roman"/>
          <w:color w:val="000000"/>
          <w:sz w:val="28"/>
          <w:szCs w:val="28"/>
        </w:rPr>
        <w:t>zatem, którzy wierzycie, cześć. Dla tych zaś, co nie wierzą, właśnie ten kamień, który odrzucili budowniczowie, stał się głowicą węgła – i kamieniem upadku, i skałą zgorszenia. Ci, nieposłuszni słowu, upadają, do czego zresztą są przeznaczeni.  Wy zaś jest</w:t>
      </w:r>
      <w:r>
        <w:rPr>
          <w:rFonts w:cs="Times New Roman"/>
          <w:color w:val="000000"/>
          <w:sz w:val="28"/>
          <w:szCs w:val="28"/>
        </w:rPr>
        <w:t xml:space="preserve">eście wybranym plemieniem, królewskim kapłaństwem, świętym narodem, ludem Bogu na własność przeznaczonym, abyście ogłaszali dzieła potęgi Tego, który was wezwał z ciemności do przedziwnego swojego światła. </w:t>
      </w:r>
      <w:r>
        <w:rPr>
          <w:rFonts w:cs="Times New Roman"/>
          <w:b/>
          <w:bCs/>
          <w:color w:val="000000"/>
          <w:sz w:val="28"/>
          <w:szCs w:val="28"/>
        </w:rPr>
        <w:t xml:space="preserve"> Oto słowo Boże.</w:t>
      </w:r>
    </w:p>
    <w:p w14:paraId="5F1C4803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5B039466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ŚPIEW PRZED EWANGELIĄ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J 14,6</w:t>
      </w:r>
      <w:r>
        <w:rPr>
          <w:rFonts w:cs="Times New Roman"/>
          <w:bCs/>
          <w:color w:val="000000"/>
          <w:sz w:val="28"/>
          <w:szCs w:val="28"/>
        </w:rPr>
        <w:br/>
      </w:r>
      <w:r>
        <w:rPr>
          <w:rFonts w:cs="Times New Roman"/>
          <w:bCs/>
          <w:color w:val="000000"/>
          <w:sz w:val="28"/>
          <w:szCs w:val="28"/>
        </w:rPr>
        <w:br/>
      </w:r>
      <w:r>
        <w:rPr>
          <w:rFonts w:cs="Times New Roman"/>
          <w:b/>
          <w:bCs/>
          <w:color w:val="000000"/>
          <w:sz w:val="28"/>
          <w:szCs w:val="28"/>
        </w:rPr>
        <w:t>Al</w:t>
      </w:r>
      <w:r>
        <w:rPr>
          <w:rFonts w:cs="Times New Roman"/>
          <w:b/>
          <w:bCs/>
          <w:color w:val="000000"/>
          <w:sz w:val="28"/>
          <w:szCs w:val="28"/>
        </w:rPr>
        <w:t xml:space="preserve">leluja, alleluja, alleluja    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Ja jestem drogą i prawdą, i życiem, nikt nie przychodzi do Ojca inaczej,                                jak tylko przeze Mni</w:t>
      </w:r>
      <w:r>
        <w:rPr>
          <w:rFonts w:cs="Times New Roman"/>
          <w:color w:val="000000"/>
          <w:sz w:val="28"/>
          <w:szCs w:val="28"/>
        </w:rPr>
        <w:t xml:space="preserve">e. </w:t>
      </w: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>Alleluja, alleluja, alleluja</w:t>
      </w:r>
    </w:p>
    <w:p w14:paraId="3360E9D1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27F6CBD2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 xml:space="preserve">EWANGELIA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                    J 14,1–12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         </w:t>
      </w:r>
    </w:p>
    <w:p w14:paraId="41F60969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Słowa Ewangelii według świętego Jana</w:t>
      </w:r>
    </w:p>
    <w:p w14:paraId="16D3DDFC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>Jezus powiedział do swoich uczniów:  „Niech się nie trwoży serce wasze. Wierzycie w Boga? I we Mnie wierzcie. W domu Ojca mego jest mieszkań wiele. Gdyby tak nie było, to bym wam powiedział. Idę przecież pr</w:t>
      </w:r>
      <w:r>
        <w:rPr>
          <w:rFonts w:cs="Times New Roman"/>
          <w:bCs/>
          <w:color w:val="000000"/>
          <w:sz w:val="28"/>
          <w:szCs w:val="28"/>
          <w:lang w:val="pl-PL"/>
        </w:rPr>
        <w:t>zygotować wam miejsce. A gdy odejdę i przygotuję wam miejsce, przyjdę powtórnie i zabiorę was do siebie, abyście i wy byli tam, gdzie Ja jestem. Znacie drogę, dokąd Ja idę”.  Odezwał się do Niego Tomasz: „Panie, nie wiemy, dokąd idziesz. Jak więc możemy zn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ać drogę?”.  Odpowiedział mu Jezus: „Ja jestem drogą i prawdą, i życiem. Nikt nie przychodzi do Ojca inaczej jak tylko przeze Mnie. Gdybyście Mnie poznali, znalibyście i mojego Ojca. Ale teraz już Go znacie i zobaczyliście”.  Rzekł do Niego Filip: „Panie,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pokaż nam Ojca, a to nam wystarczy”.  Odpowiedział mu Jezus: „Filipie, tak długo jestem z wami, a jeszcze Mnie nie poznałeś? Kto Mnie zobaczył, zobaczył także i Ojca. Dlaczego więc mówisz: »Pokaż nam Ojca?«. Czy nie wierzysz, że Ja jestem w Ojcu, a Ojciec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we Mnie? Słów tych, które wam mówię, nie wypowiadam od siebie. Ojciec, który trwa we Mnie, On sam dokonuje tych dzieł. Wierzcie Mi, że Ja jestem w Ojcu, a Ojciec we Mnie. Jeżeli zaś nie, wierzcie przynajmniej ze względu na same dzieła.  Zaprawdę, zaprawdę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powiadam wam: Kto we Mnie wierzy, będzie także dokonywał tych dzieł, których Ja dokonuję, owszem i większe od tych uczyni, bo Ja idę do Ojca”.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58F7C20B" w14:textId="77777777" w:rsidR="00000000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8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000000">
      <w:footerReference w:type="default" r:id="rId9"/>
      <w:footerReference w:type="first" r:id="rId10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B3898" w14:textId="77777777" w:rsidR="00000000" w:rsidRDefault="00A30DC3">
      <w:r>
        <w:separator/>
      </w:r>
    </w:p>
  </w:endnote>
  <w:endnote w:type="continuationSeparator" w:id="0">
    <w:p w14:paraId="52A3AD6F" w14:textId="77777777" w:rsidR="00000000" w:rsidRDefault="00A3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752FF" w14:textId="77777777" w:rsidR="00000000" w:rsidRDefault="00A30DC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787A" w14:textId="77777777" w:rsidR="00000000" w:rsidRDefault="00A30D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A3108" w14:textId="77777777" w:rsidR="00000000" w:rsidRDefault="00A30DC3">
      <w:r>
        <w:separator/>
      </w:r>
    </w:p>
  </w:footnote>
  <w:footnote w:type="continuationSeparator" w:id="0">
    <w:p w14:paraId="7E2C04D1" w14:textId="77777777" w:rsidR="00000000" w:rsidRDefault="00A3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3"/>
    <w:rsid w:val="00A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193F26F"/>
  <w15:chartTrackingRefBased/>
  <w15:docId w15:val="{3CDE4D1E-C3F0-4C67-9670-CD62906D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a.wiara.pl/doc/423365.I-NIEDZIELA-WIELKIEGO-POSTU-ROK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cp:lastModifiedBy>Rosalia Bjerkedal</cp:lastModifiedBy>
  <cp:revision>2</cp:revision>
  <cp:lastPrinted>2014-05-13T15:14:00Z</cp:lastPrinted>
  <dcterms:created xsi:type="dcterms:W3CDTF">2020-04-22T19:37:00Z</dcterms:created>
  <dcterms:modified xsi:type="dcterms:W3CDTF">2020-04-22T19:37:00Z</dcterms:modified>
</cp:coreProperties>
</file>